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8qzgtfo338e6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Produkt: Tonerkartusche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lbrzv0d0op3n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Beschreibung:</w:t>
      </w:r>
      <w:r w:rsidDel="00000000" w:rsidR="00000000" w:rsidRPr="00000000">
        <w:rPr>
          <w:sz w:val="24"/>
          <w:szCs w:val="24"/>
          <w:rtl w:val="0"/>
        </w:rPr>
        <w:t xml:space="preserve"> Schwarze Premium Tonerkartusche TSLH92A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j3cngmwsp4zt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Bestellmenge:</w:t>
      </w:r>
      <w:r w:rsidDel="00000000" w:rsidR="00000000" w:rsidRPr="00000000">
        <w:rPr>
          <w:sz w:val="24"/>
          <w:szCs w:val="24"/>
          <w:rtl w:val="0"/>
        </w:rPr>
        <w:t xml:space="preserve"> 15 Stück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fkpp94n51n1n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Lieferant:</w:t>
      </w:r>
      <w:r w:rsidDel="00000000" w:rsidR="00000000" w:rsidRPr="00000000">
        <w:rPr>
          <w:sz w:val="24"/>
          <w:szCs w:val="24"/>
          <w:rtl w:val="0"/>
        </w:rPr>
        <w:t xml:space="preserve"> drucker-zubehoer.kaufen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Artikelnummer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Bestellnummer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TSLH92A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8391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18"/>
        <w:szCs w:val="18"/>
        <w:rtl w:val="0"/>
      </w:rPr>
      <w:t xml:space="preserve">🔺 Maximalbestand: 20 Stück 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18"/>
        <w:szCs w:val="18"/>
        <w:rtl w:val="0"/>
      </w:rPr>
      <w:t xml:space="preserve">🔻 Mindestbestand: 5 Stück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3445056</wp:posOffset>
          </wp:positionH>
          <wp:positionV relativeFrom="paragraph">
            <wp:posOffset>-9524</wp:posOffset>
          </wp:positionV>
          <wp:extent cx="2174694" cy="623888"/>
          <wp:effectExtent b="0" l="0" r="0" t="0"/>
          <wp:wrapSquare wrapText="bothSides" distB="114300" distT="114300" distL="114300" distR="114300"/>
          <wp:docPr descr="gfm_10_06_10_logo.jpg" id="1" name="image01.jpg"/>
          <a:graphic>
            <a:graphicData uri="http://schemas.openxmlformats.org/drawingml/2006/picture">
              <pic:pic>
                <pic:nvPicPr>
                  <pic:cNvPr descr="gfm_10_06_10_logo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4694" cy="623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